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F94BB" w14:textId="7D6AC748" w:rsidR="0018179E" w:rsidRPr="00381F54" w:rsidRDefault="00381F54" w:rsidP="00381F54">
      <w:pPr>
        <w:pStyle w:val="Figurecaption"/>
        <w:rPr>
          <w:lang w:val="en-GB"/>
        </w:rPr>
      </w:pPr>
      <w:r>
        <w:rPr>
          <w:b/>
        </w:rPr>
        <w:t xml:space="preserve">Supplementary </w:t>
      </w:r>
      <w:r w:rsidRPr="00381F54">
        <w:rPr>
          <w:b/>
        </w:rPr>
        <w:t>Fig</w:t>
      </w:r>
      <w:r w:rsidRPr="00381F54">
        <w:rPr>
          <w:rFonts w:hint="eastAsia"/>
          <w:b/>
        </w:rPr>
        <w:t>.</w:t>
      </w:r>
      <w:r w:rsidRPr="00381F54">
        <w:rPr>
          <w:b/>
        </w:rPr>
        <w:t xml:space="preserve"> 1. Levels of the </w:t>
      </w:r>
      <w:r w:rsidRPr="00381F54">
        <w:rPr>
          <w:b/>
          <w:i/>
        </w:rPr>
        <w:t>β-actin</w:t>
      </w:r>
      <w:r w:rsidRPr="00381F54">
        <w:rPr>
          <w:b/>
        </w:rPr>
        <w:t xml:space="preserve"> </w:t>
      </w:r>
      <w:r w:rsidRPr="00381F54">
        <w:rPr>
          <w:b/>
        </w:rPr>
        <w:t>measured in PBMC of HD at the first and second sample collections</w:t>
      </w:r>
      <w:r>
        <w:rPr>
          <w:b/>
        </w:rPr>
        <w:t xml:space="preserve"> and in </w:t>
      </w:r>
      <w:r w:rsidRPr="006F3C87">
        <w:rPr>
          <w:b/>
          <w:bCs/>
        </w:rPr>
        <w:t>DENV pa</w:t>
      </w:r>
      <w:r w:rsidRPr="00C01136">
        <w:rPr>
          <w:b/>
          <w:bCs/>
        </w:rPr>
        <w:t>tients at indicated time points</w:t>
      </w:r>
      <w:r w:rsidRPr="00381F54">
        <w:rPr>
          <w:b/>
        </w:rPr>
        <w:t>.</w:t>
      </w:r>
      <w:r w:rsidRPr="00381F54">
        <w:t xml:space="preserve"> (A) Levels of the </w:t>
      </w:r>
      <w:r w:rsidRPr="00381F54">
        <w:rPr>
          <w:i/>
        </w:rPr>
        <w:t>β-actin</w:t>
      </w:r>
      <w:r>
        <w:rPr>
          <w:i/>
        </w:rPr>
        <w:t xml:space="preserve"> in HD</w:t>
      </w:r>
      <w:r w:rsidRPr="00381F54">
        <w:t xml:space="preserve">; (B) Levels of the </w:t>
      </w:r>
      <w:r w:rsidRPr="00381F54">
        <w:rPr>
          <w:i/>
        </w:rPr>
        <w:t>β-actin</w:t>
      </w:r>
      <w:r w:rsidRPr="00381F54">
        <w:t xml:space="preserve"> in</w:t>
      </w:r>
      <w:r w:rsidRPr="00381F54">
        <w:t xml:space="preserve"> DENV patients</w:t>
      </w:r>
      <w:r>
        <w:t>.</w:t>
      </w:r>
      <w:r w:rsidRPr="00381F54">
        <w:t xml:space="preserve"> </w:t>
      </w:r>
      <w:r w:rsidRPr="00B73486">
        <w:t>The dotted line indicates the low limit of detection</w:t>
      </w:r>
      <w:r w:rsidRPr="00381F54">
        <w:t xml:space="preserve">. </w:t>
      </w:r>
      <w:r>
        <w:t xml:space="preserve">Ct, cycle-threshold; </w:t>
      </w:r>
      <w:r w:rsidRPr="00381F54">
        <w:t>1SC</w:t>
      </w:r>
      <w:r w:rsidRPr="00381F54">
        <w:rPr>
          <w:rFonts w:eastAsiaTheme="minorEastAsia" w:hint="eastAsia"/>
          <w:lang w:eastAsia="zh-CN"/>
        </w:rPr>
        <w:t>,</w:t>
      </w:r>
      <w:r w:rsidRPr="00381F54">
        <w:t xml:space="preserve"> first sample collection</w:t>
      </w:r>
      <w:r w:rsidRPr="00381F54">
        <w:rPr>
          <w:rFonts w:eastAsiaTheme="minorEastAsia" w:hint="eastAsia"/>
          <w:lang w:eastAsia="zh-CN"/>
        </w:rPr>
        <w:t>;</w:t>
      </w:r>
      <w:r w:rsidRPr="00381F54">
        <w:t xml:space="preserve"> 2SC</w:t>
      </w:r>
      <w:r w:rsidRPr="00381F54">
        <w:rPr>
          <w:rFonts w:eastAsiaTheme="minorEastAsia" w:hint="eastAsia"/>
          <w:lang w:eastAsia="zh-CN"/>
        </w:rPr>
        <w:t>,</w:t>
      </w:r>
      <w:r w:rsidRPr="00381F54">
        <w:t xml:space="preserve"> second sample collection</w:t>
      </w:r>
      <w:r w:rsidRPr="00381F54">
        <w:rPr>
          <w:rFonts w:eastAsiaTheme="minorEastAsia" w:hint="eastAsia"/>
          <w:lang w:eastAsia="zh-CN"/>
        </w:rPr>
        <w:t xml:space="preserve">; </w:t>
      </w:r>
      <w:r w:rsidRPr="00381F54">
        <w:rPr>
          <w:rFonts w:eastAsiaTheme="minorEastAsia"/>
          <w:lang w:eastAsia="zh-CN"/>
        </w:rPr>
        <w:t>PBMC</w:t>
      </w:r>
      <w:r w:rsidRPr="00381F54">
        <w:rPr>
          <w:rFonts w:eastAsiaTheme="minorEastAsia" w:hint="eastAsia"/>
          <w:lang w:eastAsia="zh-CN"/>
        </w:rPr>
        <w:t xml:space="preserve">, </w:t>
      </w:r>
      <w:r w:rsidRPr="00381F54">
        <w:t>peripheral blood mononuclear cells</w:t>
      </w:r>
      <w:r w:rsidRPr="00381F54">
        <w:rPr>
          <w:rFonts w:eastAsiaTheme="minorEastAsia" w:hint="eastAsia"/>
          <w:lang w:eastAsia="zh-CN"/>
        </w:rPr>
        <w:t xml:space="preserve">; </w:t>
      </w:r>
      <w:r w:rsidRPr="00381F54">
        <w:rPr>
          <w:rFonts w:eastAsiaTheme="minorEastAsia"/>
          <w:lang w:eastAsia="zh-CN"/>
        </w:rPr>
        <w:t>HD</w:t>
      </w:r>
      <w:r w:rsidRPr="00381F54">
        <w:rPr>
          <w:rFonts w:eastAsiaTheme="minorEastAsia" w:hint="eastAsia"/>
          <w:lang w:eastAsia="zh-CN"/>
        </w:rPr>
        <w:t xml:space="preserve">, </w:t>
      </w:r>
      <w:r w:rsidRPr="00381F54">
        <w:t>healthy donors.</w:t>
      </w:r>
      <w:bookmarkStart w:id="0" w:name="_GoBack"/>
      <w:bookmarkEnd w:id="0"/>
      <w:r w:rsidRPr="00381F54">
        <w:drawing>
          <wp:anchor distT="0" distB="0" distL="114300" distR="114300" simplePos="0" relativeHeight="251658240" behindDoc="0" locked="0" layoutInCell="1" allowOverlap="1" wp14:anchorId="53B19B73" wp14:editId="06AD0B8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6120130" cy="2313305"/>
            <wp:effectExtent l="0" t="0" r="0" b="0"/>
            <wp:wrapTopAndBottom/>
            <wp:docPr id="2" name="Immagine 1">
              <a:extLst xmlns:a="http://schemas.openxmlformats.org/drawingml/2006/main">
                <a:ext uri="{FF2B5EF4-FFF2-40B4-BE49-F238E27FC236}">
                  <a16:creationId xmlns:a16="http://schemas.microsoft.com/office/drawing/2014/main" id="{8B7694CD-A110-42DC-94D8-95BAD83C44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:a16="http://schemas.microsoft.com/office/drawing/2014/main" id="{8B7694CD-A110-42DC-94D8-95BAD83C44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68" b="6643"/>
                    <a:stretch/>
                  </pic:blipFill>
                  <pic:spPr>
                    <a:xfrm>
                      <a:off x="0" y="0"/>
                      <a:ext cx="6120130" cy="2313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8179E" w:rsidRPr="00381F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79E"/>
    <w:rsid w:val="0018179E"/>
    <w:rsid w:val="0038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B9376"/>
  <w15:chartTrackingRefBased/>
  <w15:docId w15:val="{2E7FF7C0-2F4B-41FC-899B-E5897B43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381F5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customStyle="1" w:styleId="Figurecaption">
    <w:name w:val="Figure caption"/>
    <w:uiPriority w:val="14"/>
    <w:qFormat/>
    <w:rsid w:val="00381F54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de-DE" w:bidi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2025-02-18T09:27:00Z</dcterms:created>
  <dcterms:modified xsi:type="dcterms:W3CDTF">2025-02-18T09:34:00Z</dcterms:modified>
</cp:coreProperties>
</file>